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20" w:rsidRPr="00726A9D" w:rsidRDefault="003C07AF" w:rsidP="005D235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Bod č. 6</w:t>
      </w:r>
      <w:r w:rsidR="00043F20" w:rsidRPr="00726A9D">
        <w:rPr>
          <w:rFonts w:ascii="Arial Black" w:hAnsi="Arial Black"/>
          <w:sz w:val="32"/>
          <w:szCs w:val="32"/>
          <w:u w:val="single"/>
        </w:rPr>
        <w:t xml:space="preserve"> </w:t>
      </w:r>
      <w:r w:rsidR="00C60ADA">
        <w:rPr>
          <w:rFonts w:ascii="Arial Black" w:hAnsi="Arial Black"/>
          <w:sz w:val="32"/>
          <w:szCs w:val="32"/>
          <w:u w:val="single"/>
        </w:rPr>
        <w:t>–</w:t>
      </w:r>
      <w:r w:rsidR="00043F20" w:rsidRPr="00726A9D">
        <w:rPr>
          <w:rFonts w:ascii="Arial Black" w:hAnsi="Arial Black"/>
          <w:sz w:val="32"/>
          <w:szCs w:val="32"/>
          <w:u w:val="single"/>
        </w:rPr>
        <w:t xml:space="preserve"> </w:t>
      </w:r>
      <w:r w:rsidR="00163116" w:rsidRPr="00163116">
        <w:rPr>
          <w:rFonts w:ascii="Arial Black" w:hAnsi="Arial Black" w:cs="Arial"/>
          <w:b/>
          <w:sz w:val="32"/>
          <w:szCs w:val="32"/>
          <w:u w:val="single"/>
        </w:rPr>
        <w:t>předpokládané dopady epidemie Covid-19 na rozpočet městyse</w:t>
      </w:r>
    </w:p>
    <w:p w:rsidR="00006145" w:rsidRDefault="00006145" w:rsidP="003C07AF">
      <w:pPr>
        <w:jc w:val="both"/>
        <w:rPr>
          <w:sz w:val="22"/>
          <w:szCs w:val="22"/>
        </w:rPr>
      </w:pPr>
    </w:p>
    <w:p w:rsidR="00035F84" w:rsidRPr="00163116" w:rsidRDefault="00035F84" w:rsidP="00006145">
      <w:pPr>
        <w:spacing w:before="60"/>
        <w:jc w:val="both"/>
        <w:rPr>
          <w:bCs/>
          <w:color w:val="FF0000"/>
          <w:sz w:val="22"/>
          <w:szCs w:val="22"/>
        </w:rPr>
      </w:pPr>
    </w:p>
    <w:p w:rsidR="00DD34FD" w:rsidRPr="00F930E5" w:rsidRDefault="00DD34FD" w:rsidP="00C050DF">
      <w:pPr>
        <w:spacing w:before="60"/>
        <w:ind w:firstLine="397"/>
        <w:jc w:val="both"/>
        <w:rPr>
          <w:bCs/>
          <w:sz w:val="22"/>
          <w:szCs w:val="22"/>
        </w:rPr>
      </w:pPr>
      <w:r w:rsidRPr="00F930E5">
        <w:rPr>
          <w:bCs/>
          <w:sz w:val="22"/>
          <w:szCs w:val="22"/>
        </w:rPr>
        <w:t>V boji proti šíření epidemie Covid-19 přijala Vláda České republiky řadu opatření, která se bohužel negativně projeví i v ekonomice. Řada firem, živností, obchodů a služeb přerušila na více než měsíc zcela či částečně svoji činnost, což se zcela jistě projeví v zastavení růstu ekonomiky a naopak jejím propadu. To bude mimo jiné znamenat i nižší daňové výnosy státu a tím pádem i měst a obcí, jejichž hlavním příjmem je podíl na sdílených daních.</w:t>
      </w:r>
    </w:p>
    <w:p w:rsidR="00B44905" w:rsidRDefault="00DD34FD" w:rsidP="00BF4216">
      <w:pPr>
        <w:spacing w:before="60"/>
        <w:ind w:firstLine="397"/>
        <w:jc w:val="both"/>
        <w:rPr>
          <w:bCs/>
          <w:sz w:val="22"/>
          <w:szCs w:val="22"/>
        </w:rPr>
      </w:pPr>
      <w:r w:rsidRPr="00F930E5">
        <w:rPr>
          <w:bCs/>
          <w:sz w:val="22"/>
          <w:szCs w:val="22"/>
        </w:rPr>
        <w:t xml:space="preserve">V této chvíli ještě není možné určit výši ztrát, podle odhadu paní ministryně financí se bude jednat u výběru daní o propad cca 60 miliard korun. Při přepočtu této částky na podíl Okříšek to vychází na 2,6 – 2,7 milionů korun, ovšem je třeba vzít do úvahy, že ne všechny daně jsou sdílené (především spotřební), takže reálná částka je cca 2,2 – 2,4 milionů korun. Při porovnání s odhady některých větších měst vychází podle poměru počtu obyvatel ztráta okolo 3 milionů korun. </w:t>
      </w:r>
      <w:r w:rsidR="00A83E31">
        <w:rPr>
          <w:bCs/>
          <w:sz w:val="22"/>
          <w:szCs w:val="22"/>
        </w:rPr>
        <w:t>Z</w:t>
      </w:r>
      <w:r w:rsidR="00A5572B">
        <w:rPr>
          <w:bCs/>
          <w:sz w:val="22"/>
          <w:szCs w:val="22"/>
        </w:rPr>
        <w:t xml:space="preserve"> daňové kalkulačky </w:t>
      </w:r>
      <w:r w:rsidR="00A5572B">
        <w:rPr>
          <w:bCs/>
          <w:sz w:val="22"/>
          <w:szCs w:val="22"/>
        </w:rPr>
        <w:t>Svazu měst a obcí</w:t>
      </w:r>
      <w:r w:rsidR="00A5572B">
        <w:rPr>
          <w:bCs/>
          <w:sz w:val="22"/>
          <w:szCs w:val="22"/>
        </w:rPr>
        <w:t xml:space="preserve">, zpracované z podkladů MF ČR, vychází </w:t>
      </w:r>
      <w:r w:rsidR="00A83E31">
        <w:rPr>
          <w:bCs/>
          <w:sz w:val="22"/>
          <w:szCs w:val="22"/>
        </w:rPr>
        <w:t xml:space="preserve">ztráta pro Okříšky </w:t>
      </w:r>
      <w:r w:rsidR="007B570A">
        <w:rPr>
          <w:bCs/>
          <w:sz w:val="22"/>
          <w:szCs w:val="22"/>
        </w:rPr>
        <w:t>cca 2 miliony</w:t>
      </w:r>
      <w:r w:rsidR="00BF4216">
        <w:rPr>
          <w:bCs/>
          <w:sz w:val="22"/>
          <w:szCs w:val="22"/>
        </w:rPr>
        <w:t xml:space="preserve"> korun</w:t>
      </w:r>
      <w:r w:rsidR="007B570A">
        <w:rPr>
          <w:bCs/>
          <w:sz w:val="22"/>
          <w:szCs w:val="22"/>
        </w:rPr>
        <w:t>, zde se pozitivně projevila skutečnost, že vždy dáváme do rozpočtu daňové příjmy nižší,</w:t>
      </w:r>
      <w:bookmarkStart w:id="0" w:name="_GoBack"/>
      <w:bookmarkEnd w:id="0"/>
      <w:r w:rsidR="007B570A">
        <w:rPr>
          <w:bCs/>
          <w:sz w:val="22"/>
          <w:szCs w:val="22"/>
        </w:rPr>
        <w:t xml:space="preserve"> než jsou predikce ministerstva financí.</w:t>
      </w:r>
    </w:p>
    <w:p w:rsidR="00A5572B" w:rsidRDefault="007B570A" w:rsidP="00BF4216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 rozpočet</w:t>
      </w:r>
      <w:r>
        <w:rPr>
          <w:bCs/>
          <w:sz w:val="22"/>
          <w:szCs w:val="22"/>
        </w:rPr>
        <w:tab/>
        <w:t xml:space="preserve">                     aktualizovaná daňová kalkulačka</w:t>
      </w:r>
    </w:p>
    <w:p w:rsidR="00A5572B" w:rsidRDefault="00A5572B" w:rsidP="00A5572B">
      <w:pPr>
        <w:spacing w:before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Daně z příjmů fyzických osob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7 750 000,00</w:t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="007B570A">
        <w:rPr>
          <w:bCs/>
          <w:sz w:val="22"/>
          <w:szCs w:val="22"/>
        </w:rPr>
        <w:tab/>
        <w:t xml:space="preserve">  </w:t>
      </w:r>
      <w:r w:rsidRPr="00A5572B">
        <w:rPr>
          <w:bCs/>
          <w:sz w:val="22"/>
          <w:szCs w:val="22"/>
        </w:rPr>
        <w:t>7 803</w:t>
      </w:r>
      <w:r>
        <w:rPr>
          <w:bCs/>
          <w:sz w:val="22"/>
          <w:szCs w:val="22"/>
        </w:rPr>
        <w:t> </w:t>
      </w:r>
      <w:r w:rsidRPr="00A5572B">
        <w:rPr>
          <w:bCs/>
          <w:sz w:val="22"/>
          <w:szCs w:val="22"/>
        </w:rPr>
        <w:t>769</w:t>
      </w:r>
      <w:r>
        <w:rPr>
          <w:bCs/>
          <w:sz w:val="22"/>
          <w:szCs w:val="22"/>
        </w:rPr>
        <w:t>,00</w:t>
      </w:r>
    </w:p>
    <w:p w:rsidR="00A5572B" w:rsidRPr="00A5572B" w:rsidRDefault="00A5572B" w:rsidP="00A5572B">
      <w:pPr>
        <w:spacing w:before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Daně z příjmů právnických osob</w:t>
      </w:r>
      <w:r>
        <w:rPr>
          <w:bCs/>
          <w:sz w:val="22"/>
          <w:szCs w:val="22"/>
        </w:rPr>
        <w:tab/>
        <w:t xml:space="preserve">  6</w:t>
      </w:r>
      <w:r w:rsidRPr="00A5572B">
        <w:rPr>
          <w:bCs/>
          <w:sz w:val="22"/>
          <w:szCs w:val="22"/>
        </w:rPr>
        <w:t xml:space="preserve"> 000 000,00</w:t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</w:t>
      </w:r>
      <w:r w:rsidR="007B570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 w:rsidR="007B570A">
        <w:rPr>
          <w:bCs/>
          <w:sz w:val="22"/>
          <w:szCs w:val="22"/>
        </w:rPr>
        <w:t xml:space="preserve"> </w:t>
      </w:r>
      <w:r w:rsidRPr="00A5572B">
        <w:rPr>
          <w:bCs/>
          <w:sz w:val="22"/>
          <w:szCs w:val="22"/>
        </w:rPr>
        <w:t>4 530</w:t>
      </w:r>
      <w:r>
        <w:rPr>
          <w:bCs/>
          <w:sz w:val="22"/>
          <w:szCs w:val="22"/>
        </w:rPr>
        <w:t> </w:t>
      </w:r>
      <w:r w:rsidRPr="00A5572B">
        <w:rPr>
          <w:bCs/>
          <w:sz w:val="22"/>
          <w:szCs w:val="22"/>
        </w:rPr>
        <w:t>706</w:t>
      </w:r>
      <w:r>
        <w:rPr>
          <w:bCs/>
          <w:sz w:val="22"/>
          <w:szCs w:val="22"/>
        </w:rPr>
        <w:t>,00</w:t>
      </w:r>
    </w:p>
    <w:p w:rsidR="00A5572B" w:rsidRPr="00A5572B" w:rsidRDefault="00A5572B" w:rsidP="00A5572B">
      <w:pPr>
        <w:spacing w:before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DPH</w:t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ab/>
        <w:t>15 200 000,00</w:t>
      </w:r>
      <w:r w:rsidRPr="00A5572B">
        <w:rPr>
          <w:bCs/>
          <w:sz w:val="22"/>
          <w:szCs w:val="22"/>
        </w:rPr>
        <w:tab/>
        <w:t xml:space="preserve">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7B570A">
        <w:rPr>
          <w:bCs/>
          <w:sz w:val="22"/>
          <w:szCs w:val="22"/>
        </w:rPr>
        <w:tab/>
      </w:r>
      <w:r w:rsidRPr="00A5572B">
        <w:rPr>
          <w:bCs/>
          <w:sz w:val="22"/>
          <w:szCs w:val="22"/>
        </w:rPr>
        <w:t>14 631</w:t>
      </w:r>
      <w:r>
        <w:rPr>
          <w:bCs/>
          <w:sz w:val="22"/>
          <w:szCs w:val="22"/>
        </w:rPr>
        <w:t> </w:t>
      </w:r>
      <w:r w:rsidRPr="00A5572B">
        <w:rPr>
          <w:bCs/>
          <w:sz w:val="22"/>
          <w:szCs w:val="22"/>
        </w:rPr>
        <w:t>006</w:t>
      </w:r>
      <w:r>
        <w:rPr>
          <w:bCs/>
          <w:sz w:val="22"/>
          <w:szCs w:val="22"/>
        </w:rPr>
        <w:t>,00</w:t>
      </w:r>
      <w:r w:rsidRPr="00A5572B">
        <w:rPr>
          <w:bCs/>
          <w:sz w:val="22"/>
          <w:szCs w:val="22"/>
        </w:rPr>
        <w:tab/>
      </w:r>
    </w:p>
    <w:p w:rsidR="00A5572B" w:rsidRPr="00A5572B" w:rsidRDefault="007B570A" w:rsidP="00A5572B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Celkem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28 950 000,00</w:t>
      </w:r>
      <w:r w:rsidR="00A5572B">
        <w:rPr>
          <w:b/>
          <w:bCs/>
          <w:sz w:val="22"/>
          <w:szCs w:val="22"/>
        </w:rPr>
        <w:tab/>
      </w:r>
      <w:r w:rsidR="00A5572B">
        <w:rPr>
          <w:b/>
          <w:bCs/>
          <w:sz w:val="22"/>
          <w:szCs w:val="22"/>
        </w:rPr>
        <w:tab/>
      </w:r>
      <w:r w:rsidR="00A5572B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A5572B" w:rsidRPr="00A5572B">
        <w:rPr>
          <w:b/>
          <w:bCs/>
          <w:sz w:val="22"/>
          <w:szCs w:val="22"/>
        </w:rPr>
        <w:t>26 965</w:t>
      </w:r>
      <w:r w:rsidR="00A5572B">
        <w:rPr>
          <w:b/>
          <w:bCs/>
          <w:sz w:val="22"/>
          <w:szCs w:val="22"/>
        </w:rPr>
        <w:t> </w:t>
      </w:r>
      <w:r w:rsidR="00A5572B" w:rsidRPr="00A5572B">
        <w:rPr>
          <w:b/>
          <w:bCs/>
          <w:sz w:val="22"/>
          <w:szCs w:val="22"/>
        </w:rPr>
        <w:t>481</w:t>
      </w:r>
      <w:r w:rsidR="00A5572B">
        <w:rPr>
          <w:b/>
          <w:bCs/>
          <w:sz w:val="22"/>
          <w:szCs w:val="22"/>
        </w:rPr>
        <w:t>,00</w:t>
      </w:r>
    </w:p>
    <w:p w:rsidR="00A5572B" w:rsidRPr="00A5572B" w:rsidRDefault="00A5572B" w:rsidP="00A5572B">
      <w:pPr>
        <w:jc w:val="both"/>
        <w:rPr>
          <w:bCs/>
          <w:sz w:val="12"/>
          <w:szCs w:val="12"/>
        </w:rPr>
      </w:pPr>
    </w:p>
    <w:tbl>
      <w:tblPr>
        <w:tblW w:w="1093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5"/>
        <w:gridCol w:w="278"/>
        <w:gridCol w:w="1003"/>
        <w:gridCol w:w="666"/>
        <w:gridCol w:w="326"/>
        <w:gridCol w:w="993"/>
        <w:gridCol w:w="113"/>
        <w:gridCol w:w="76"/>
        <w:gridCol w:w="803"/>
        <w:gridCol w:w="992"/>
        <w:gridCol w:w="709"/>
        <w:gridCol w:w="1053"/>
        <w:gridCol w:w="652"/>
        <w:gridCol w:w="1049"/>
        <w:gridCol w:w="652"/>
      </w:tblGrid>
      <w:tr w:rsidR="00A83E31" w:rsidTr="00DD44EE">
        <w:trPr>
          <w:trHeight w:val="170"/>
          <w:jc w:val="center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1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rPr>
                <w:sz w:val="20"/>
                <w:szCs w:val="20"/>
              </w:rPr>
            </w:pPr>
          </w:p>
        </w:tc>
      </w:tr>
      <w:tr w:rsidR="00A83E31" w:rsidTr="00DD44EE">
        <w:trPr>
          <w:trHeight w:val="480"/>
          <w:jc w:val="center"/>
        </w:trPr>
        <w:tc>
          <w:tcPr>
            <w:tcW w:w="2846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OBCE (vč. Prahy)</w:t>
            </w:r>
          </w:p>
        </w:tc>
        <w:tc>
          <w:tcPr>
            <w:tcW w:w="29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472C4"/>
            <w:noWrap/>
            <w:vAlign w:val="center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Predikce na rok 2020</w:t>
            </w:r>
          </w:p>
        </w:tc>
        <w:tc>
          <w:tcPr>
            <w:tcW w:w="5107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4B084"/>
            <w:noWrap/>
            <w:vAlign w:val="center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Srovnání skutečnost 2019 vs. predikce vs. dopad </w:t>
            </w:r>
            <w:proofErr w:type="spellStart"/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koronaviru</w:t>
            </w:r>
            <w:proofErr w:type="spellEnd"/>
          </w:p>
        </w:tc>
      </w:tr>
      <w:tr w:rsidR="00A83E31" w:rsidTr="00DD44EE">
        <w:trPr>
          <w:trHeight w:val="324"/>
          <w:jc w:val="center"/>
        </w:trPr>
        <w:tc>
          <w:tcPr>
            <w:tcW w:w="2846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9BC2E6"/>
            <w:vAlign w:val="center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Rozpočtová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9BC2E6"/>
            <w:vAlign w:val="center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FFFF"/>
                <w:sz w:val="18"/>
                <w:szCs w:val="18"/>
              </w:rPr>
              <w:t>únor 2020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:rsidR="00A83E31" w:rsidRPr="00B44905" w:rsidRDefault="00BF4216" w:rsidP="007712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21. </w:t>
            </w:r>
            <w:r w:rsidR="00A83E31" w:rsidRPr="00B4490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4.</w:t>
            </w: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A83E31" w:rsidRPr="00B4490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únor 2020 </w:t>
            </w:r>
          </w:p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vs. 2019</w:t>
            </w:r>
          </w:p>
        </w:tc>
        <w:tc>
          <w:tcPr>
            <w:tcW w:w="1705" w:type="dxa"/>
            <w:gridSpan w:val="2"/>
            <w:tcBorders>
              <w:top w:val="single" w:sz="8" w:space="0" w:color="C00000"/>
              <w:left w:val="single" w:sz="8" w:space="0" w:color="C00000"/>
              <w:bottom w:val="nil"/>
              <w:right w:val="single" w:sz="8" w:space="0" w:color="C00000"/>
            </w:tcBorders>
            <w:shd w:val="clear" w:color="000000" w:fill="FFE699"/>
            <w:noWrap/>
            <w:vAlign w:val="bottom"/>
            <w:hideMark/>
          </w:tcPr>
          <w:p w:rsidR="00A83E31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duben 2020 </w:t>
            </w:r>
          </w:p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vs. 2019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3E31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duben 2020 </w:t>
            </w:r>
          </w:p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vs. únor 2020</w:t>
            </w:r>
          </w:p>
        </w:tc>
      </w:tr>
      <w:tr w:rsidR="00A83E31" w:rsidTr="00DD44EE">
        <w:trPr>
          <w:trHeight w:val="324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B9BD5"/>
            <w:noWrap/>
            <w:vAlign w:val="center"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B9BD5"/>
            <w:noWrap/>
            <w:vAlign w:val="center"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rozdíl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% změna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single" w:sz="8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rozdíl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C00000"/>
            </w:tcBorders>
            <w:shd w:val="clear" w:color="000000" w:fill="FFE699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% změna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rozdíl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% změna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Daňové příjmy celkem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245 198 855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259 800 000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261 600 000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221 900 000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16 401 145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+ 6,7%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-23 298 855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-9,5%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-39 700 000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-15,2%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 toho: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i/>
                <w:iCs/>
                <w:color w:val="305496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i/>
                <w:iCs/>
                <w:color w:val="C00000"/>
                <w:sz w:val="18"/>
                <w:szCs w:val="18"/>
              </w:rPr>
              <w:t> </w:t>
            </w:r>
          </w:p>
        </w:tc>
      </w:tr>
      <w:tr w:rsidR="00A83E31" w:rsidTr="00DD44EE">
        <w:trPr>
          <w:trHeight w:val="444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DPFO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61 248 261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65 500 000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65 700 000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51 800 000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4 451 739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+ 7,3%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-9 448 261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-15,4%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-13 900 000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-21,2%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 toho: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 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ze závislé činnosti (placená plátci)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54 881 617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59 600 000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59 500 000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48 700 000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4 618 383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+ 8,4%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-6 181 617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-11,3%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-10 800 000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-18,2%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 přiznání (placená poplatníky)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1 491 905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1 100 000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1 200 000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100 000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-291 905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-19,6%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-1 391 905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-93,3%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-1 100 000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-91,7%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vybíraná srážkou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4 874 736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4 900 000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5 100 000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225 264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+ 4,6%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-1 974 736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-40,5%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-2 200 000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-43,1%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DPPO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53 216 448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52 400 000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53 600 000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39 600 000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383 552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+ 0,7%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-13 616 448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-25,6%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-14 000 000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-26,1%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 toho: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 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DPPO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45 518 828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45 100 000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45 700 000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31 800 000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181 172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+ 0,4%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-13 718 828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-30,1%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-13 900 000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-30,4%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DPPO placená obcemi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7 697 620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7 200 000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7 800 000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7 800 000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102 380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+ 1,3%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102 380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0,0%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DPH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102 499 479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113 000 000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113 300 000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102 600 000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10 800 521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+ 10,5%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100 521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-10 700 000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-9,4%</w:t>
            </w:r>
          </w:p>
        </w:tc>
      </w:tr>
      <w:tr w:rsidR="00A83E31" w:rsidTr="00DD44EE">
        <w:trPr>
          <w:trHeight w:val="312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Daň z nemovitých věcí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10 908 764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11 400 000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11 100 000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11 100 000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191 236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+ 1,8%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191 236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0,0%</w:t>
            </w:r>
          </w:p>
        </w:tc>
      </w:tr>
      <w:tr w:rsidR="00A83E31" w:rsidTr="00DD44EE">
        <w:trPr>
          <w:trHeight w:val="324"/>
          <w:jc w:val="center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Daň z hazardních her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5 163 533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5 000 000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5 300 000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305496"/>
                <w:sz w:val="18"/>
                <w:szCs w:val="18"/>
              </w:rPr>
              <w:t>4 200 000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136 467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000000"/>
                <w:sz w:val="18"/>
                <w:szCs w:val="18"/>
              </w:rPr>
              <w:t>+ 2,6%</w:t>
            </w:r>
          </w:p>
        </w:tc>
        <w:tc>
          <w:tcPr>
            <w:tcW w:w="1053" w:type="dxa"/>
            <w:tcBorders>
              <w:top w:val="nil"/>
              <w:left w:val="single" w:sz="8" w:space="0" w:color="C00000"/>
              <w:bottom w:val="nil"/>
              <w:right w:val="nil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-963 533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C00000"/>
            </w:tcBorders>
            <w:shd w:val="clear" w:color="000000" w:fill="FFE699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-18,7%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-1 100 000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bottom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color w:val="C00000"/>
                <w:sz w:val="18"/>
                <w:szCs w:val="18"/>
              </w:rPr>
              <w:t>-20,8%</w:t>
            </w:r>
          </w:p>
        </w:tc>
      </w:tr>
      <w:tr w:rsidR="00A83E31" w:rsidTr="00DD44EE">
        <w:trPr>
          <w:trHeight w:val="324"/>
          <w:jc w:val="center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:rsidR="00A83E31" w:rsidRPr="00B44905" w:rsidRDefault="00A83E31" w:rsidP="007712C6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B4490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Daňové příjmy dle RUD za obce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sz w:val="18"/>
                <w:szCs w:val="18"/>
              </w:rPr>
              <w:t>220 175 332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sz w:val="18"/>
                <w:szCs w:val="18"/>
              </w:rPr>
              <w:t>235 000 000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44905">
              <w:rPr>
                <w:rFonts w:ascii="Calibri" w:hAnsi="Calibri" w:cs="Calibri"/>
                <w:sz w:val="18"/>
                <w:szCs w:val="18"/>
              </w:rPr>
              <w:t>235 800 000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sz w:val="18"/>
                <w:szCs w:val="18"/>
              </w:rPr>
              <w:t>197 300 000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sz w:val="18"/>
                <w:szCs w:val="18"/>
              </w:rPr>
              <w:t>15 624 668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sz w:val="18"/>
                <w:szCs w:val="18"/>
              </w:rPr>
              <w:t>+ 7,1%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C00000"/>
              <w:bottom w:val="single" w:sz="8" w:space="0" w:color="C00000"/>
              <w:right w:val="nil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-22 875 332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C00000"/>
              <w:right w:val="single" w:sz="8" w:space="0" w:color="C00000"/>
            </w:tcBorders>
            <w:shd w:val="clear" w:color="000000" w:fill="9BC2E6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-10,4%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-38 500 000 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57" w:type="dxa"/>
            </w:tcMar>
            <w:vAlign w:val="center"/>
            <w:hideMark/>
          </w:tcPr>
          <w:p w:rsidR="00A83E31" w:rsidRPr="00B44905" w:rsidRDefault="00A83E31" w:rsidP="007712C6">
            <w:pPr>
              <w:jc w:val="right"/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</w:pPr>
            <w:r w:rsidRPr="00B44905">
              <w:rPr>
                <w:rFonts w:ascii="Calibri" w:hAnsi="Calibri" w:cs="Calibri"/>
                <w:b/>
                <w:bCs/>
                <w:color w:val="C00000"/>
                <w:sz w:val="18"/>
                <w:szCs w:val="18"/>
              </w:rPr>
              <w:t>-16,3%</w:t>
            </w:r>
          </w:p>
        </w:tc>
      </w:tr>
    </w:tbl>
    <w:p w:rsidR="00B44905" w:rsidRDefault="00B44905" w:rsidP="00BF4216">
      <w:pPr>
        <w:ind w:firstLine="397"/>
        <w:jc w:val="both"/>
        <w:rPr>
          <w:bCs/>
          <w:sz w:val="22"/>
          <w:szCs w:val="22"/>
        </w:rPr>
      </w:pPr>
    </w:p>
    <w:p w:rsidR="00DD34FD" w:rsidRPr="00F930E5" w:rsidRDefault="00DD34FD" w:rsidP="00C050DF">
      <w:pPr>
        <w:spacing w:before="60"/>
        <w:ind w:firstLine="397"/>
        <w:jc w:val="both"/>
        <w:rPr>
          <w:bCs/>
          <w:sz w:val="22"/>
          <w:szCs w:val="22"/>
        </w:rPr>
      </w:pPr>
      <w:r w:rsidRPr="00F930E5">
        <w:rPr>
          <w:bCs/>
          <w:sz w:val="22"/>
          <w:szCs w:val="22"/>
        </w:rPr>
        <w:t>Vzhledem k celkové velikosti rozpočtu se nejedná o částku, která by zcela zásadně ohrozila hospodaření městyse, nicméně je potřeba ji brát při rozhodování o investicích i dalších výdajích do úvahy.</w:t>
      </w:r>
      <w:r w:rsidR="00BF4216">
        <w:rPr>
          <w:bCs/>
          <w:sz w:val="22"/>
          <w:szCs w:val="22"/>
        </w:rPr>
        <w:t xml:space="preserve"> Jako velmi pozitivní se v této souvislosti jeví schválení úvěrového rámce ve výši 40 milionů korun, který umožní realizovat nejdůležitější investice, především rekonstrukci kanalizace a ČOV.</w:t>
      </w:r>
    </w:p>
    <w:p w:rsidR="004B23D6" w:rsidRDefault="00DD34FD" w:rsidP="00F930E5">
      <w:pPr>
        <w:spacing w:before="60"/>
        <w:ind w:firstLine="397"/>
        <w:jc w:val="both"/>
        <w:rPr>
          <w:bCs/>
          <w:sz w:val="22"/>
          <w:szCs w:val="22"/>
        </w:rPr>
      </w:pPr>
      <w:r w:rsidRPr="00F930E5">
        <w:rPr>
          <w:bCs/>
          <w:sz w:val="22"/>
          <w:szCs w:val="22"/>
        </w:rPr>
        <w:lastRenderedPageBreak/>
        <w:t xml:space="preserve">Rada městyse proto rozhodla o odložení vybudování dalších urnových hrobů v nové části hřbitova, kde navíc probíhají jednání o možnosti získání </w:t>
      </w:r>
      <w:r w:rsidR="00F930E5" w:rsidRPr="00F930E5">
        <w:rPr>
          <w:bCs/>
          <w:sz w:val="22"/>
          <w:szCs w:val="22"/>
        </w:rPr>
        <w:t xml:space="preserve">části pozemku pro jeho zarovnání a po konzultaci se </w:t>
      </w:r>
      <w:proofErr w:type="gramStart"/>
      <w:r w:rsidR="00F930E5" w:rsidRPr="00F930E5">
        <w:rPr>
          <w:bCs/>
          <w:sz w:val="22"/>
          <w:szCs w:val="22"/>
        </w:rPr>
        <w:t>společností E.ON</w:t>
      </w:r>
      <w:proofErr w:type="gramEnd"/>
      <w:r w:rsidR="00F930E5" w:rsidRPr="00F930E5">
        <w:rPr>
          <w:bCs/>
          <w:sz w:val="22"/>
          <w:szCs w:val="22"/>
        </w:rPr>
        <w:t xml:space="preserve"> o odložení kabelizace </w:t>
      </w:r>
      <w:proofErr w:type="spellStart"/>
      <w:r w:rsidR="00F930E5" w:rsidRPr="00F930E5">
        <w:rPr>
          <w:bCs/>
          <w:sz w:val="22"/>
          <w:szCs w:val="22"/>
        </w:rPr>
        <w:t>nn</w:t>
      </w:r>
      <w:proofErr w:type="spellEnd"/>
      <w:r w:rsidR="00F930E5" w:rsidRPr="00F930E5">
        <w:rPr>
          <w:bCs/>
          <w:sz w:val="22"/>
          <w:szCs w:val="22"/>
        </w:rPr>
        <w:t xml:space="preserve"> na ulici Sadová, což zároveň znamená odložení vybudování nového veřejného osvětlení také o rok. Realizovat se nebude restaurování a doplnění stropní malby v zasedací místnosti úřadu městyse, kde jsme neuspěli se žádostí o dotaci z Fondu Vysočiny. Otázkou je bourání kotelny u BD U Stadionu, které se bude také odvíjet od kabelizace </w:t>
      </w:r>
      <w:proofErr w:type="spellStart"/>
      <w:r w:rsidR="00F930E5" w:rsidRPr="00F930E5">
        <w:rPr>
          <w:bCs/>
          <w:sz w:val="22"/>
          <w:szCs w:val="22"/>
        </w:rPr>
        <w:t>nn</w:t>
      </w:r>
      <w:proofErr w:type="spellEnd"/>
      <w:r w:rsidR="00F930E5" w:rsidRPr="00F930E5">
        <w:rPr>
          <w:bCs/>
          <w:sz w:val="22"/>
          <w:szCs w:val="22"/>
        </w:rPr>
        <w:t xml:space="preserve"> v této části Okříšek. O rok je možné odložit i rekonstrukce a doplnění přechodů pro chodce z důvodu probíhající rekonstrukce kanalizace, dotace na tuto akci má termín dokončení až do roku 2022.</w:t>
      </w:r>
      <w:r w:rsidR="00F930E5">
        <w:rPr>
          <w:bCs/>
          <w:sz w:val="22"/>
          <w:szCs w:val="22"/>
        </w:rPr>
        <w:t xml:space="preserve"> Některé další investice jsou závislé na získání dotačních prostředků (přístavba MŠ, rekonstrukce bývalého úřadu městyse na byty), výsledky grantových programů zatím neznáme.</w:t>
      </w:r>
      <w:r w:rsidR="00BF4216">
        <w:rPr>
          <w:bCs/>
          <w:sz w:val="22"/>
          <w:szCs w:val="22"/>
        </w:rPr>
        <w:t xml:space="preserve"> Na druhou stranu vláda avizuje řadu prorůstových opatření, mj. v oblasti stavebních investic, nabízí se tedy možnost, že dojde ke zvýšení dotačních prostředků do této oblasti, i s využitím záchranného balíčku Evropské unie.</w:t>
      </w:r>
    </w:p>
    <w:p w:rsidR="00F930E5" w:rsidRDefault="00F930E5" w:rsidP="00F930E5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Rada městyse a úřad městyse bude podrobně sledovat vývoj ekonomické situace a reagovat na něj. V případě potřeby připraví návrhy pro zastupitelstvo městyse na další úsporná </w:t>
      </w:r>
      <w:r w:rsidR="00681414">
        <w:rPr>
          <w:bCs/>
          <w:sz w:val="22"/>
          <w:szCs w:val="22"/>
        </w:rPr>
        <w:t>opatření tak, aby zajistila nezbytné investice a</w:t>
      </w:r>
      <w:r>
        <w:rPr>
          <w:bCs/>
          <w:sz w:val="22"/>
          <w:szCs w:val="22"/>
        </w:rPr>
        <w:t xml:space="preserve"> co nejméně </w:t>
      </w:r>
      <w:r w:rsidR="00681414">
        <w:rPr>
          <w:bCs/>
          <w:sz w:val="22"/>
          <w:szCs w:val="22"/>
        </w:rPr>
        <w:t xml:space="preserve">se </w:t>
      </w:r>
      <w:r>
        <w:rPr>
          <w:bCs/>
          <w:sz w:val="22"/>
          <w:szCs w:val="22"/>
        </w:rPr>
        <w:t xml:space="preserve">dotkla </w:t>
      </w:r>
      <w:r w:rsidR="00681414">
        <w:rPr>
          <w:bCs/>
          <w:sz w:val="22"/>
          <w:szCs w:val="22"/>
        </w:rPr>
        <w:t>běžného života Okříšek a služeb pro veřejnost.</w:t>
      </w:r>
      <w:r>
        <w:rPr>
          <w:bCs/>
          <w:sz w:val="22"/>
          <w:szCs w:val="22"/>
        </w:rPr>
        <w:t xml:space="preserve">  </w:t>
      </w:r>
    </w:p>
    <w:p w:rsidR="00F930E5" w:rsidRPr="00F930E5" w:rsidRDefault="00F930E5" w:rsidP="00681414">
      <w:pPr>
        <w:ind w:firstLine="397"/>
        <w:jc w:val="both"/>
        <w:rPr>
          <w:bCs/>
          <w:sz w:val="22"/>
          <w:szCs w:val="22"/>
        </w:rPr>
      </w:pPr>
    </w:p>
    <w:p w:rsidR="00270441" w:rsidRDefault="00270441" w:rsidP="00681414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163116" w:rsidRPr="00627DF2" w:rsidRDefault="00163116" w:rsidP="00681414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270441" w:rsidRPr="00953FBC" w:rsidRDefault="00270441" w:rsidP="00681414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006145" w:rsidRPr="00C96340" w:rsidRDefault="00006145" w:rsidP="00661F1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C96340">
        <w:rPr>
          <w:b/>
          <w:sz w:val="22"/>
          <w:szCs w:val="22"/>
          <w:u w:val="single"/>
        </w:rPr>
        <w:t>Návrh usnesení:</w:t>
      </w:r>
      <w:r w:rsidRPr="00C96340">
        <w:rPr>
          <w:b/>
          <w:bCs/>
          <w:sz w:val="22"/>
          <w:szCs w:val="22"/>
        </w:rPr>
        <w:tab/>
      </w:r>
      <w:r w:rsidRPr="00C96340">
        <w:rPr>
          <w:b/>
          <w:bCs/>
          <w:sz w:val="22"/>
          <w:szCs w:val="22"/>
        </w:rPr>
        <w:tab/>
      </w:r>
    </w:p>
    <w:p w:rsidR="007D624D" w:rsidRDefault="00006145" w:rsidP="00681414">
      <w:pPr>
        <w:spacing w:before="60"/>
        <w:jc w:val="both"/>
        <w:rPr>
          <w:b/>
          <w:bCs/>
          <w:sz w:val="22"/>
          <w:szCs w:val="22"/>
        </w:rPr>
      </w:pPr>
      <w:r w:rsidRPr="00530FC1">
        <w:rPr>
          <w:b/>
          <w:bCs/>
          <w:sz w:val="22"/>
          <w:szCs w:val="22"/>
        </w:rPr>
        <w:t>Zastupitelstvo městyse</w:t>
      </w:r>
      <w:r w:rsidR="00681414">
        <w:rPr>
          <w:b/>
          <w:bCs/>
          <w:sz w:val="22"/>
          <w:szCs w:val="22"/>
        </w:rPr>
        <w:t xml:space="preserve"> bere na vědomí informaci o předpokládaných ekonomických dopadech do rozpočtu městyse v důsledku </w:t>
      </w:r>
      <w:proofErr w:type="spellStart"/>
      <w:r w:rsidR="00681414">
        <w:rPr>
          <w:b/>
          <w:bCs/>
          <w:sz w:val="22"/>
          <w:szCs w:val="22"/>
        </w:rPr>
        <w:t>protikoronavirových</w:t>
      </w:r>
      <w:proofErr w:type="spellEnd"/>
      <w:r w:rsidR="00681414">
        <w:rPr>
          <w:b/>
          <w:bCs/>
          <w:sz w:val="22"/>
          <w:szCs w:val="22"/>
        </w:rPr>
        <w:t xml:space="preserve"> opatření a přijatých opatřeních</w:t>
      </w:r>
      <w:r w:rsidR="00A80098" w:rsidRPr="00681414">
        <w:rPr>
          <w:b/>
          <w:bCs/>
          <w:sz w:val="22"/>
          <w:szCs w:val="22"/>
        </w:rPr>
        <w:t>.</w:t>
      </w: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p w:rsidR="00B44905" w:rsidRPr="00681414" w:rsidRDefault="00B44905" w:rsidP="00681414">
      <w:pPr>
        <w:spacing w:before="60"/>
        <w:jc w:val="both"/>
        <w:rPr>
          <w:b/>
          <w:bCs/>
          <w:sz w:val="22"/>
          <w:szCs w:val="22"/>
        </w:rPr>
      </w:pPr>
    </w:p>
    <w:sectPr w:rsidR="00B44905" w:rsidRPr="00681414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1AEB"/>
    <w:multiLevelType w:val="hybridMultilevel"/>
    <w:tmpl w:val="3C8E8F14"/>
    <w:lvl w:ilvl="0" w:tplc="E57A12E4">
      <w:start w:val="1"/>
      <w:numFmt w:val="upperLetter"/>
      <w:lvlText w:val="%1)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3" w:hanging="360"/>
      </w:pPr>
    </w:lvl>
    <w:lvl w:ilvl="2" w:tplc="0405001B" w:tentative="1">
      <w:start w:val="1"/>
      <w:numFmt w:val="lowerRoman"/>
      <w:lvlText w:val="%3."/>
      <w:lvlJc w:val="right"/>
      <w:pPr>
        <w:ind w:left="6903" w:hanging="180"/>
      </w:pPr>
    </w:lvl>
    <w:lvl w:ilvl="3" w:tplc="0405000F" w:tentative="1">
      <w:start w:val="1"/>
      <w:numFmt w:val="decimal"/>
      <w:lvlText w:val="%4."/>
      <w:lvlJc w:val="left"/>
      <w:pPr>
        <w:ind w:left="7623" w:hanging="360"/>
      </w:pPr>
    </w:lvl>
    <w:lvl w:ilvl="4" w:tplc="04050019" w:tentative="1">
      <w:start w:val="1"/>
      <w:numFmt w:val="lowerLetter"/>
      <w:lvlText w:val="%5."/>
      <w:lvlJc w:val="left"/>
      <w:pPr>
        <w:ind w:left="8343" w:hanging="360"/>
      </w:pPr>
    </w:lvl>
    <w:lvl w:ilvl="5" w:tplc="0405001B" w:tentative="1">
      <w:start w:val="1"/>
      <w:numFmt w:val="lowerRoman"/>
      <w:lvlText w:val="%6."/>
      <w:lvlJc w:val="right"/>
      <w:pPr>
        <w:ind w:left="9063" w:hanging="180"/>
      </w:pPr>
    </w:lvl>
    <w:lvl w:ilvl="6" w:tplc="0405000F" w:tentative="1">
      <w:start w:val="1"/>
      <w:numFmt w:val="decimal"/>
      <w:lvlText w:val="%7."/>
      <w:lvlJc w:val="left"/>
      <w:pPr>
        <w:ind w:left="9783" w:hanging="360"/>
      </w:pPr>
    </w:lvl>
    <w:lvl w:ilvl="7" w:tplc="04050019" w:tentative="1">
      <w:start w:val="1"/>
      <w:numFmt w:val="lowerLetter"/>
      <w:lvlText w:val="%8."/>
      <w:lvlJc w:val="left"/>
      <w:pPr>
        <w:ind w:left="10503" w:hanging="360"/>
      </w:pPr>
    </w:lvl>
    <w:lvl w:ilvl="8" w:tplc="040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74E40"/>
    <w:multiLevelType w:val="hybridMultilevel"/>
    <w:tmpl w:val="B576277E"/>
    <w:lvl w:ilvl="0" w:tplc="BB9E2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749ED"/>
    <w:multiLevelType w:val="hybridMultilevel"/>
    <w:tmpl w:val="B48013A0"/>
    <w:lvl w:ilvl="0" w:tplc="77D46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A1535"/>
    <w:multiLevelType w:val="hybridMultilevel"/>
    <w:tmpl w:val="96607DCC"/>
    <w:lvl w:ilvl="0" w:tplc="1B5CE2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1"/>
  </w:num>
  <w:num w:numId="6">
    <w:abstractNumId w:val="10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20"/>
    <w:rsid w:val="00004F80"/>
    <w:rsid w:val="00006145"/>
    <w:rsid w:val="00035F84"/>
    <w:rsid w:val="00043F20"/>
    <w:rsid w:val="000736C5"/>
    <w:rsid w:val="00085777"/>
    <w:rsid w:val="000B25C2"/>
    <w:rsid w:val="000D0F5A"/>
    <w:rsid w:val="000D361B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0434"/>
    <w:rsid w:val="001439F2"/>
    <w:rsid w:val="00144EFA"/>
    <w:rsid w:val="00152759"/>
    <w:rsid w:val="00153DD3"/>
    <w:rsid w:val="0015633C"/>
    <w:rsid w:val="00160197"/>
    <w:rsid w:val="0016265E"/>
    <w:rsid w:val="00163116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B2294"/>
    <w:rsid w:val="001C2A8F"/>
    <w:rsid w:val="001C6C25"/>
    <w:rsid w:val="001D2BBB"/>
    <w:rsid w:val="001D3527"/>
    <w:rsid w:val="001E5221"/>
    <w:rsid w:val="001E68B7"/>
    <w:rsid w:val="001F1EAD"/>
    <w:rsid w:val="001F46D6"/>
    <w:rsid w:val="002162C7"/>
    <w:rsid w:val="00221DA8"/>
    <w:rsid w:val="00224A62"/>
    <w:rsid w:val="002349C8"/>
    <w:rsid w:val="00243CFA"/>
    <w:rsid w:val="00244F1E"/>
    <w:rsid w:val="00254388"/>
    <w:rsid w:val="00256A61"/>
    <w:rsid w:val="00260525"/>
    <w:rsid w:val="002617EF"/>
    <w:rsid w:val="00264F4A"/>
    <w:rsid w:val="00270441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441F"/>
    <w:rsid w:val="002F61FA"/>
    <w:rsid w:val="00312263"/>
    <w:rsid w:val="003155CB"/>
    <w:rsid w:val="0031786D"/>
    <w:rsid w:val="00320CD7"/>
    <w:rsid w:val="00330700"/>
    <w:rsid w:val="00330D4D"/>
    <w:rsid w:val="00342E28"/>
    <w:rsid w:val="003657D0"/>
    <w:rsid w:val="00390F89"/>
    <w:rsid w:val="00395AB6"/>
    <w:rsid w:val="00397E99"/>
    <w:rsid w:val="003A2337"/>
    <w:rsid w:val="003A3FC7"/>
    <w:rsid w:val="003B5F66"/>
    <w:rsid w:val="003C07AF"/>
    <w:rsid w:val="003C4866"/>
    <w:rsid w:val="003E5011"/>
    <w:rsid w:val="003F3F63"/>
    <w:rsid w:val="00401A15"/>
    <w:rsid w:val="00415887"/>
    <w:rsid w:val="00427361"/>
    <w:rsid w:val="00437314"/>
    <w:rsid w:val="00437A6D"/>
    <w:rsid w:val="00443903"/>
    <w:rsid w:val="004505F4"/>
    <w:rsid w:val="00455D04"/>
    <w:rsid w:val="00470F43"/>
    <w:rsid w:val="00472F82"/>
    <w:rsid w:val="004A3000"/>
    <w:rsid w:val="004A43D1"/>
    <w:rsid w:val="004A69E5"/>
    <w:rsid w:val="004B23D6"/>
    <w:rsid w:val="004B38D1"/>
    <w:rsid w:val="004B4A3F"/>
    <w:rsid w:val="004B5200"/>
    <w:rsid w:val="004D29A3"/>
    <w:rsid w:val="004D3DA8"/>
    <w:rsid w:val="004D431C"/>
    <w:rsid w:val="00517C6D"/>
    <w:rsid w:val="00530FC1"/>
    <w:rsid w:val="005365A5"/>
    <w:rsid w:val="00542BD7"/>
    <w:rsid w:val="00551FD7"/>
    <w:rsid w:val="00556D71"/>
    <w:rsid w:val="00574A68"/>
    <w:rsid w:val="00584A64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1F68"/>
    <w:rsid w:val="005F2D23"/>
    <w:rsid w:val="005F57F9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5495"/>
    <w:rsid w:val="0065681D"/>
    <w:rsid w:val="00661F19"/>
    <w:rsid w:val="006726EB"/>
    <w:rsid w:val="00677292"/>
    <w:rsid w:val="00681414"/>
    <w:rsid w:val="00682630"/>
    <w:rsid w:val="00687493"/>
    <w:rsid w:val="00691BA5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26A9D"/>
    <w:rsid w:val="00732E3E"/>
    <w:rsid w:val="00736A69"/>
    <w:rsid w:val="007502DB"/>
    <w:rsid w:val="00754994"/>
    <w:rsid w:val="00760090"/>
    <w:rsid w:val="00760753"/>
    <w:rsid w:val="00765C89"/>
    <w:rsid w:val="00767618"/>
    <w:rsid w:val="0077040C"/>
    <w:rsid w:val="007742FD"/>
    <w:rsid w:val="007763AB"/>
    <w:rsid w:val="0078005C"/>
    <w:rsid w:val="007969E3"/>
    <w:rsid w:val="007B570A"/>
    <w:rsid w:val="007B6D6B"/>
    <w:rsid w:val="007C296C"/>
    <w:rsid w:val="007C3BB9"/>
    <w:rsid w:val="007D1FC8"/>
    <w:rsid w:val="007D624D"/>
    <w:rsid w:val="007D6401"/>
    <w:rsid w:val="007D733D"/>
    <w:rsid w:val="007E769E"/>
    <w:rsid w:val="007F0434"/>
    <w:rsid w:val="007F0818"/>
    <w:rsid w:val="007F370A"/>
    <w:rsid w:val="007F56AE"/>
    <w:rsid w:val="00801B56"/>
    <w:rsid w:val="00814C1A"/>
    <w:rsid w:val="00820D2A"/>
    <w:rsid w:val="0082221C"/>
    <w:rsid w:val="0082606C"/>
    <w:rsid w:val="00830C64"/>
    <w:rsid w:val="00843DE7"/>
    <w:rsid w:val="008521C3"/>
    <w:rsid w:val="00861F77"/>
    <w:rsid w:val="00865CA2"/>
    <w:rsid w:val="00872933"/>
    <w:rsid w:val="00876F37"/>
    <w:rsid w:val="0088649E"/>
    <w:rsid w:val="008C02F5"/>
    <w:rsid w:val="008D429A"/>
    <w:rsid w:val="008E480A"/>
    <w:rsid w:val="008F5776"/>
    <w:rsid w:val="00900679"/>
    <w:rsid w:val="009175EB"/>
    <w:rsid w:val="00921B4C"/>
    <w:rsid w:val="00927CDA"/>
    <w:rsid w:val="009468DE"/>
    <w:rsid w:val="00950D17"/>
    <w:rsid w:val="00953FBC"/>
    <w:rsid w:val="00955FD9"/>
    <w:rsid w:val="00973316"/>
    <w:rsid w:val="009835DA"/>
    <w:rsid w:val="0098580E"/>
    <w:rsid w:val="00992577"/>
    <w:rsid w:val="009A1E3A"/>
    <w:rsid w:val="009B6DAF"/>
    <w:rsid w:val="00A03584"/>
    <w:rsid w:val="00A15261"/>
    <w:rsid w:val="00A20AEB"/>
    <w:rsid w:val="00A27120"/>
    <w:rsid w:val="00A3245C"/>
    <w:rsid w:val="00A371CB"/>
    <w:rsid w:val="00A5572B"/>
    <w:rsid w:val="00A5787E"/>
    <w:rsid w:val="00A7377C"/>
    <w:rsid w:val="00A74972"/>
    <w:rsid w:val="00A778C6"/>
    <w:rsid w:val="00A80098"/>
    <w:rsid w:val="00A83E31"/>
    <w:rsid w:val="00AB1746"/>
    <w:rsid w:val="00AB28DA"/>
    <w:rsid w:val="00AB2F98"/>
    <w:rsid w:val="00AC47A6"/>
    <w:rsid w:val="00AC734F"/>
    <w:rsid w:val="00AD6C08"/>
    <w:rsid w:val="00AE60FA"/>
    <w:rsid w:val="00B009B5"/>
    <w:rsid w:val="00B22F57"/>
    <w:rsid w:val="00B2342D"/>
    <w:rsid w:val="00B26DFC"/>
    <w:rsid w:val="00B31D39"/>
    <w:rsid w:val="00B34824"/>
    <w:rsid w:val="00B42ABC"/>
    <w:rsid w:val="00B44905"/>
    <w:rsid w:val="00B51FAC"/>
    <w:rsid w:val="00B52B9A"/>
    <w:rsid w:val="00B559DB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F4216"/>
    <w:rsid w:val="00C0095D"/>
    <w:rsid w:val="00C050DF"/>
    <w:rsid w:val="00C124AE"/>
    <w:rsid w:val="00C1336E"/>
    <w:rsid w:val="00C13681"/>
    <w:rsid w:val="00C20A3B"/>
    <w:rsid w:val="00C2582D"/>
    <w:rsid w:val="00C440BB"/>
    <w:rsid w:val="00C45186"/>
    <w:rsid w:val="00C5574C"/>
    <w:rsid w:val="00C576D4"/>
    <w:rsid w:val="00C60ADA"/>
    <w:rsid w:val="00C6540F"/>
    <w:rsid w:val="00C90307"/>
    <w:rsid w:val="00C96340"/>
    <w:rsid w:val="00CA1171"/>
    <w:rsid w:val="00CA2A5D"/>
    <w:rsid w:val="00CB7401"/>
    <w:rsid w:val="00CC194E"/>
    <w:rsid w:val="00CC303B"/>
    <w:rsid w:val="00CD3A45"/>
    <w:rsid w:val="00CD4B0C"/>
    <w:rsid w:val="00CD546B"/>
    <w:rsid w:val="00CE0920"/>
    <w:rsid w:val="00CF1EE8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27E9"/>
    <w:rsid w:val="00D775E3"/>
    <w:rsid w:val="00D87BFD"/>
    <w:rsid w:val="00D947A6"/>
    <w:rsid w:val="00D95D29"/>
    <w:rsid w:val="00DB24EF"/>
    <w:rsid w:val="00DB3280"/>
    <w:rsid w:val="00DB3E51"/>
    <w:rsid w:val="00DB63D3"/>
    <w:rsid w:val="00DB7871"/>
    <w:rsid w:val="00DC30B8"/>
    <w:rsid w:val="00DD34FD"/>
    <w:rsid w:val="00DD44EE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74310"/>
    <w:rsid w:val="00F800DD"/>
    <w:rsid w:val="00F81EF5"/>
    <w:rsid w:val="00F85B76"/>
    <w:rsid w:val="00F871FE"/>
    <w:rsid w:val="00F930E5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C6AE7-F769-46B5-808B-47F70990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2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768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5293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23</cp:revision>
  <cp:lastPrinted>2016-02-10T09:36:00Z</cp:lastPrinted>
  <dcterms:created xsi:type="dcterms:W3CDTF">2018-02-09T12:50:00Z</dcterms:created>
  <dcterms:modified xsi:type="dcterms:W3CDTF">2020-04-28T05:39:00Z</dcterms:modified>
</cp:coreProperties>
</file>